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Stenungsund kommunfullmäktige</w:t>
      </w:r>
    </w:p>
    <w:p>
      <w:pPr>
        <w:pStyle w:val="Heading1"/>
      </w:pPr>
      <w:r>
        <w:t xml:space="preserve">Fler lärare i lågstadiet i utsatta områden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Stenungsund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Stenungsunds grundskolor har ett genomsnittligt lärartal på 10,8 elever per lärare (Kolada 2024). Skolor i områden med lägre socioekonomisk status har högre andel obehöriga lärare och sämre resultat.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Stenungsund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lärartätheten till max 9 elever per lärare i lågstadiet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ett särskilt rekryteringstillägg för behöriga lärare i utsatta skolor.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6 mnkr årligen för fler lärartjänster.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lärartäthet och meritvärden per skola i verksamhetsberättelsen.</w:t>
      </w:r>
    </w:p>
    <w:p>
      <w:pPr>
        <w:spacing w:before="360"/>
      </w:pPr>
    </w:p>
    <w:p>
      <w:r>
        <w:t xml:space="preserve">Stenungsund,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Stenungsund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2026-07-14T01:20:59.654Z</dcterms:created>
  <dcterms:modified xsi:type="dcterms:W3CDTF">2026-07-14T01:20:59.654Z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